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D4356" w14:textId="7C5B3F67" w:rsidR="00161DB7" w:rsidRDefault="00161DB7" w:rsidP="00161DB7">
      <w:pPr>
        <w:spacing w:after="0"/>
        <w:jc w:val="both"/>
        <w:rPr>
          <w:rFonts w:ascii="Arial" w:hAnsi="Arial" w:cs="Arial"/>
          <w:b/>
          <w:color w:val="000000"/>
          <w:sz w:val="24"/>
        </w:rPr>
      </w:pPr>
      <w:bookmarkStart w:id="0" w:name="_Hlk525903026"/>
      <w:r w:rsidRPr="008E6327">
        <w:rPr>
          <w:rFonts w:ascii="Arial" w:hAnsi="Arial" w:cs="Arial"/>
          <w:b/>
          <w:color w:val="000000"/>
          <w:sz w:val="24"/>
        </w:rPr>
        <w:t xml:space="preserve">3GPP TSG RAN WG1 Meeting </w:t>
      </w:r>
      <w:r>
        <w:rPr>
          <w:rFonts w:ascii="Arial" w:hAnsi="Arial" w:cs="Arial"/>
          <w:b/>
          <w:color w:val="000000"/>
          <w:sz w:val="24"/>
        </w:rPr>
        <w:t>#</w:t>
      </w:r>
      <w:r w:rsidR="00386A2F">
        <w:rPr>
          <w:rFonts w:ascii="Arial" w:hAnsi="Arial" w:cs="Arial"/>
          <w:b/>
          <w:color w:val="000000"/>
          <w:sz w:val="24"/>
        </w:rPr>
        <w:t>9</w:t>
      </w:r>
      <w:r w:rsidR="002F1FDB">
        <w:rPr>
          <w:rFonts w:ascii="Arial" w:hAnsi="Arial" w:cs="Arial"/>
          <w:b/>
          <w:color w:val="000000"/>
          <w:sz w:val="24"/>
        </w:rPr>
        <w:t>8</w:t>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sidR="00FD786D" w:rsidRPr="00FD786D">
        <w:rPr>
          <w:rFonts w:ascii="Arial" w:hAnsi="Arial" w:cs="Arial"/>
          <w:b/>
          <w:color w:val="000000"/>
          <w:sz w:val="24"/>
        </w:rPr>
        <w:t>R1-1909256</w:t>
      </w:r>
      <w:bookmarkStart w:id="1" w:name="_GoBack"/>
      <w:bookmarkEnd w:id="1"/>
    </w:p>
    <w:p w14:paraId="631DB4FE" w14:textId="59341B6C" w:rsidR="002F1FDB" w:rsidRPr="002F1FDB" w:rsidRDefault="002F1FDB" w:rsidP="002F1FDB">
      <w:pPr>
        <w:rPr>
          <w:rFonts w:ascii="Arial" w:hAnsi="Arial" w:cs="Arial"/>
          <w:b/>
          <w:sz w:val="24"/>
          <w:szCs w:val="24"/>
        </w:rPr>
      </w:pPr>
      <w:r w:rsidRPr="002F1FDB">
        <w:rPr>
          <w:rFonts w:ascii="Arial" w:hAnsi="Arial" w:cs="Arial"/>
          <w:b/>
          <w:sz w:val="24"/>
          <w:szCs w:val="24"/>
        </w:rPr>
        <w:t>Prague, CZ, August 26th – 30th 2019</w:t>
      </w:r>
    </w:p>
    <w:bookmarkEnd w:id="0"/>
    <w:p w14:paraId="455A8E3D" w14:textId="77777777" w:rsidR="00161DB7" w:rsidRDefault="00161DB7" w:rsidP="00161DB7">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3E0F9952" w14:textId="67F7844F" w:rsidR="00161DB7" w:rsidRDefault="00161DB7" w:rsidP="00161DB7">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r>
      <w:r w:rsidR="00F859CB">
        <w:rPr>
          <w:rFonts w:ascii="Arial" w:hAnsi="Arial"/>
          <w:color w:val="000000"/>
          <w:sz w:val="24"/>
        </w:rPr>
        <w:t>7.2.4.4</w:t>
      </w:r>
    </w:p>
    <w:p w14:paraId="7779AC7D" w14:textId="77777777" w:rsidR="00161DB7" w:rsidRDefault="00161DB7" w:rsidP="00161DB7">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1DB1F1D" w14:textId="77777777" w:rsidR="00161DB7" w:rsidRPr="00ED7BF7" w:rsidRDefault="00161DB7" w:rsidP="00161DB7">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Pr="000D3B2C">
        <w:rPr>
          <w:rFonts w:ascii="Arial" w:hAnsi="Arial"/>
          <w:sz w:val="24"/>
        </w:rPr>
        <w:t>Co-existence aspects for NR-V2X and LTE-V2X</w:t>
      </w:r>
    </w:p>
    <w:p w14:paraId="1E455E00" w14:textId="77777777" w:rsidR="00161DB7" w:rsidRPr="00D55307" w:rsidRDefault="00161DB7" w:rsidP="00161DB7">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6633DDE5" w14:textId="77777777" w:rsidR="00161DB7" w:rsidRDefault="00161DB7" w:rsidP="00161DB7">
      <w:pPr>
        <w:pStyle w:val="Heading1"/>
        <w:jc w:val="both"/>
        <w:rPr>
          <w:lang w:val="en-US"/>
        </w:rPr>
      </w:pPr>
      <w:r>
        <w:rPr>
          <w:lang w:val="en-US"/>
        </w:rPr>
        <w:t>Introduction</w:t>
      </w:r>
    </w:p>
    <w:p w14:paraId="6ED4875C" w14:textId="6C4BB068" w:rsidR="00161DB7" w:rsidRPr="000D3B2C" w:rsidRDefault="00161DB7" w:rsidP="00161DB7">
      <w:pPr>
        <w:spacing w:after="120"/>
        <w:rPr>
          <w:rFonts w:eastAsia="SimSun"/>
          <w:lang w:eastAsia="zh-CN"/>
        </w:rPr>
      </w:pPr>
      <w:r w:rsidRPr="000D3B2C">
        <w:rPr>
          <w:rFonts w:eastAsia="SimSun"/>
          <w:lang w:eastAsia="zh-CN"/>
        </w:rPr>
        <w:t xml:space="preserve">In the RAN1 </w:t>
      </w:r>
      <w:r w:rsidR="00875F25">
        <w:rPr>
          <w:rFonts w:eastAsia="SimSun"/>
          <w:lang w:eastAsia="zh-CN"/>
        </w:rPr>
        <w:t>#97</w:t>
      </w:r>
      <w:r w:rsidRPr="000D3B2C">
        <w:rPr>
          <w:rFonts w:eastAsia="SimSun"/>
          <w:lang w:eastAsia="zh-CN"/>
        </w:rPr>
        <w:t xml:space="preserve"> following agreements have been made regarding NR V2X/LTE V2X in device coexistence</w:t>
      </w:r>
      <w:r w:rsidR="00875F25">
        <w:rPr>
          <w:rFonts w:eastAsia="SimSun"/>
          <w:lang w:eastAsia="zh-CN"/>
        </w:rPr>
        <w:t xml:space="preserve"> [2]</w:t>
      </w:r>
      <w:r w:rsidRPr="000D3B2C">
        <w:rPr>
          <w:rFonts w:eastAsia="SimSun"/>
          <w:lang w:eastAsia="zh-CN"/>
        </w:rPr>
        <w:t>:</w:t>
      </w:r>
    </w:p>
    <w:tbl>
      <w:tblPr>
        <w:tblStyle w:val="TableGrid"/>
        <w:tblW w:w="0" w:type="auto"/>
        <w:tblLook w:val="04A0" w:firstRow="1" w:lastRow="0" w:firstColumn="1" w:lastColumn="0" w:noHBand="0" w:noVBand="1"/>
      </w:tblPr>
      <w:tblGrid>
        <w:gridCol w:w="9621"/>
      </w:tblGrid>
      <w:tr w:rsidR="00875F25" w14:paraId="0C5ABB0B" w14:textId="77777777" w:rsidTr="00875F25">
        <w:tc>
          <w:tcPr>
            <w:tcW w:w="9621" w:type="dxa"/>
          </w:tcPr>
          <w:p w14:paraId="0FC64AA6" w14:textId="77777777" w:rsidR="00875F25" w:rsidRPr="00875F25" w:rsidRDefault="00875F25" w:rsidP="00875F25">
            <w:pPr>
              <w:rPr>
                <w:sz w:val="18"/>
                <w:szCs w:val="18"/>
              </w:rPr>
            </w:pPr>
            <w:r w:rsidRPr="00875F25">
              <w:rPr>
                <w:sz w:val="18"/>
                <w:szCs w:val="18"/>
                <w:highlight w:val="green"/>
              </w:rPr>
              <w:t>Agreements</w:t>
            </w:r>
            <w:r w:rsidRPr="00875F25">
              <w:rPr>
                <w:sz w:val="18"/>
                <w:szCs w:val="18"/>
              </w:rPr>
              <w:t>:</w:t>
            </w:r>
          </w:p>
          <w:p w14:paraId="452A77E1" w14:textId="77777777" w:rsidR="00875F25" w:rsidRPr="00875F25" w:rsidRDefault="00875F25" w:rsidP="00875F25">
            <w:pPr>
              <w:pStyle w:val="ListParagraph"/>
              <w:numPr>
                <w:ilvl w:val="0"/>
                <w:numId w:val="10"/>
              </w:numPr>
              <w:spacing w:after="180"/>
              <w:rPr>
                <w:sz w:val="22"/>
                <w:szCs w:val="18"/>
              </w:rPr>
            </w:pPr>
            <w:r w:rsidRPr="00875F25">
              <w:rPr>
                <w:sz w:val="22"/>
                <w:szCs w:val="18"/>
                <w:lang w:eastAsia="zh-CN"/>
              </w:rPr>
              <w:t>For Tx/Tx overlap,</w:t>
            </w:r>
          </w:p>
          <w:p w14:paraId="0945C7B6" w14:textId="77777777" w:rsidR="00875F25" w:rsidRPr="00875F25" w:rsidRDefault="00875F25" w:rsidP="00875F25">
            <w:pPr>
              <w:pStyle w:val="ListParagraph"/>
              <w:numPr>
                <w:ilvl w:val="1"/>
                <w:numId w:val="10"/>
              </w:numPr>
              <w:spacing w:after="180"/>
              <w:rPr>
                <w:sz w:val="22"/>
                <w:szCs w:val="18"/>
              </w:rPr>
            </w:pPr>
            <w:r w:rsidRPr="00875F25">
              <w:rPr>
                <w:sz w:val="22"/>
                <w:szCs w:val="18"/>
                <w:lang w:eastAsia="zh-CN"/>
              </w:rPr>
              <w:t>Confirm the working assumption made in RAN1#96bis</w:t>
            </w:r>
          </w:p>
          <w:p w14:paraId="550B43D8" w14:textId="77777777" w:rsidR="00875F25" w:rsidRPr="00875F25" w:rsidRDefault="00875F25" w:rsidP="00875F25">
            <w:pPr>
              <w:pStyle w:val="ListParagraph"/>
              <w:numPr>
                <w:ilvl w:val="1"/>
                <w:numId w:val="10"/>
              </w:numPr>
              <w:spacing w:after="180"/>
              <w:rPr>
                <w:sz w:val="22"/>
                <w:szCs w:val="18"/>
              </w:rPr>
            </w:pPr>
            <w:r w:rsidRPr="00875F25">
              <w:rPr>
                <w:sz w:val="22"/>
                <w:szCs w:val="18"/>
              </w:rPr>
              <w:t xml:space="preserve">UE capability is defined for short-term </w:t>
            </w:r>
            <w:proofErr w:type="gramStart"/>
            <w:r w:rsidRPr="00875F25">
              <w:rPr>
                <w:sz w:val="22"/>
                <w:szCs w:val="18"/>
              </w:rPr>
              <w:t>time-scale</w:t>
            </w:r>
            <w:proofErr w:type="gramEnd"/>
            <w:r w:rsidRPr="00875F25">
              <w:rPr>
                <w:sz w:val="22"/>
                <w:szCs w:val="18"/>
              </w:rPr>
              <w:t xml:space="preserve"> TDM for in-device coexistence</w:t>
            </w:r>
          </w:p>
          <w:p w14:paraId="2C368E2F" w14:textId="77777777" w:rsidR="00875F25" w:rsidRPr="00875F25" w:rsidRDefault="00875F25" w:rsidP="00875F25">
            <w:pPr>
              <w:rPr>
                <w:sz w:val="18"/>
                <w:szCs w:val="18"/>
              </w:rPr>
            </w:pPr>
            <w:r w:rsidRPr="00875F25">
              <w:rPr>
                <w:sz w:val="18"/>
                <w:szCs w:val="18"/>
                <w:highlight w:val="green"/>
              </w:rPr>
              <w:t>Agreements</w:t>
            </w:r>
            <w:r w:rsidRPr="00875F25">
              <w:rPr>
                <w:sz w:val="18"/>
                <w:szCs w:val="18"/>
              </w:rPr>
              <w:t>:</w:t>
            </w:r>
          </w:p>
          <w:p w14:paraId="43F97D50" w14:textId="77777777" w:rsidR="00875F25" w:rsidRPr="00875F25" w:rsidRDefault="00875F25" w:rsidP="00875F25">
            <w:pPr>
              <w:pStyle w:val="ListParagraph"/>
              <w:numPr>
                <w:ilvl w:val="0"/>
                <w:numId w:val="10"/>
              </w:numPr>
              <w:spacing w:after="180"/>
              <w:rPr>
                <w:sz w:val="22"/>
                <w:szCs w:val="18"/>
              </w:rPr>
            </w:pPr>
            <w:r w:rsidRPr="00875F25">
              <w:rPr>
                <w:sz w:val="22"/>
                <w:szCs w:val="18"/>
              </w:rPr>
              <w:t xml:space="preserve">For Rx/Rx overlap, </w:t>
            </w:r>
          </w:p>
          <w:p w14:paraId="16606DA3" w14:textId="52D9118A" w:rsidR="00875F25" w:rsidRDefault="00875F25" w:rsidP="00875F25">
            <w:pPr>
              <w:pStyle w:val="ListParagraph"/>
              <w:numPr>
                <w:ilvl w:val="1"/>
                <w:numId w:val="10"/>
              </w:numPr>
              <w:spacing w:after="180"/>
            </w:pPr>
            <w:r w:rsidRPr="00875F25">
              <w:rPr>
                <w:sz w:val="22"/>
                <w:szCs w:val="18"/>
              </w:rPr>
              <w:t>Up to UE implementation to manage receptions of LTE and NR sidelinks.</w:t>
            </w:r>
          </w:p>
        </w:tc>
      </w:tr>
    </w:tbl>
    <w:p w14:paraId="08A04A3F" w14:textId="77777777" w:rsidR="00161DB7" w:rsidRPr="00161DB7" w:rsidRDefault="00161DB7" w:rsidP="00F53ABF"/>
    <w:p w14:paraId="590C4607" w14:textId="6FD66AF1" w:rsidR="00161DB7" w:rsidRPr="000D3B2C" w:rsidRDefault="00161DB7" w:rsidP="00161DB7">
      <w:pPr>
        <w:spacing w:after="120"/>
        <w:rPr>
          <w:rFonts w:eastAsia="SimSun"/>
          <w:lang w:eastAsia="zh-CN"/>
        </w:rPr>
      </w:pPr>
      <w:r w:rsidRPr="000D3B2C">
        <w:t xml:space="preserve">Since RAN1 </w:t>
      </w:r>
      <w:r>
        <w:t>has concluded that long term TDM coexistence has no specification impact</w:t>
      </w:r>
      <w:r w:rsidRPr="000D3B2C">
        <w:t>, we focus our discussion in this paper to short term (i.e. TTI level) solution.</w:t>
      </w:r>
    </w:p>
    <w:p w14:paraId="46E77234" w14:textId="77777777" w:rsidR="00161DB7" w:rsidRDefault="00161DB7" w:rsidP="00161DB7">
      <w:pPr>
        <w:pStyle w:val="Heading1"/>
        <w:overflowPunct w:val="0"/>
        <w:autoSpaceDE w:val="0"/>
        <w:autoSpaceDN w:val="0"/>
        <w:adjustRightInd w:val="0"/>
        <w:textAlignment w:val="baseline"/>
      </w:pPr>
      <w:r>
        <w:t xml:space="preserve">Short Term TDM </w:t>
      </w:r>
      <w:bookmarkStart w:id="3" w:name="_Hlk525802761"/>
      <w:r>
        <w:t>of LTE V2X and NR V2X</w:t>
      </w:r>
    </w:p>
    <w:p w14:paraId="381511CD" w14:textId="77777777" w:rsidR="00161DB7" w:rsidRDefault="00161DB7" w:rsidP="00161DB7">
      <w:r>
        <w:t>We focus the discussion in this section to TDM kind of solution. It worth clarifying that by short time scale TDM, what we mean is:</w:t>
      </w:r>
    </w:p>
    <w:p w14:paraId="1B58C84E" w14:textId="77777777" w:rsidR="00161DB7" w:rsidRDefault="00161DB7" w:rsidP="00161DB7">
      <w:pPr>
        <w:numPr>
          <w:ilvl w:val="0"/>
          <w:numId w:val="5"/>
        </w:numPr>
      </w:pPr>
      <w:r>
        <w:t>UE try to avoid scheduling the transmissions of LTE V2X and NR V2X overlapping with each other.</w:t>
      </w:r>
    </w:p>
    <w:p w14:paraId="38092237" w14:textId="77777777" w:rsidR="00161DB7" w:rsidRDefault="00161DB7" w:rsidP="00161DB7">
      <w:pPr>
        <w:numPr>
          <w:ilvl w:val="1"/>
          <w:numId w:val="5"/>
        </w:numPr>
      </w:pPr>
      <w:r>
        <w:t>The scheduling is done in a per TTI basis</w:t>
      </w:r>
    </w:p>
    <w:p w14:paraId="51727591" w14:textId="77777777" w:rsidR="00161DB7" w:rsidRDefault="00161DB7" w:rsidP="00161DB7">
      <w:pPr>
        <w:numPr>
          <w:ilvl w:val="1"/>
          <w:numId w:val="5"/>
        </w:numPr>
      </w:pPr>
      <w:r>
        <w:t>The scheduling can be done ahead of time, or instantaneously.</w:t>
      </w:r>
    </w:p>
    <w:p w14:paraId="2F15107F" w14:textId="77777777" w:rsidR="00161DB7" w:rsidRDefault="00161DB7" w:rsidP="00161DB7">
      <w:pPr>
        <w:numPr>
          <w:ilvl w:val="2"/>
          <w:numId w:val="5"/>
        </w:numPr>
      </w:pPr>
      <w:r>
        <w:t>By instantaneously we mean that the inter stack information exchange delay is not sufficient to communicate scheduling decision of one RAT to the other RAT.</w:t>
      </w:r>
    </w:p>
    <w:p w14:paraId="5626A34A" w14:textId="77777777" w:rsidR="00161DB7" w:rsidRDefault="00161DB7" w:rsidP="00161DB7">
      <w:pPr>
        <w:numPr>
          <w:ilvl w:val="0"/>
          <w:numId w:val="5"/>
        </w:numPr>
      </w:pPr>
      <w:r>
        <w:t>It is still possible that LTE V2X and NR V2X transmissions still overlap in time, despite all efforts in 1. In this case we discuss if any further solution is needed.</w:t>
      </w:r>
    </w:p>
    <w:p w14:paraId="23532ED8" w14:textId="77777777" w:rsidR="00161DB7" w:rsidRDefault="00161DB7" w:rsidP="00161DB7">
      <w:r>
        <w:t>We first limit our discussion for the case UE perform autonomous resource selection for both LTE V2X and NR V2X. The cases involve eNB/gNB resource allocation is similar in principle but require some minor changes in terms of signalling. Such changes will be focused on in the later part of this section.</w:t>
      </w:r>
    </w:p>
    <w:p w14:paraId="4938C998" w14:textId="77777777" w:rsidR="00161DB7" w:rsidRDefault="00161DB7" w:rsidP="00161DB7">
      <w:pPr>
        <w:pStyle w:val="Heading2"/>
      </w:pPr>
      <w:r>
        <w:t>UE with autonomous Resource Selection</w:t>
      </w:r>
    </w:p>
    <w:p w14:paraId="1AF50865" w14:textId="26D69458" w:rsidR="00AE0431" w:rsidRPr="00CD21AC" w:rsidRDefault="00AE0431" w:rsidP="00161DB7">
      <w:pPr>
        <w:rPr>
          <w:bCs/>
        </w:rPr>
      </w:pPr>
      <w:r w:rsidRPr="00CD21AC">
        <w:rPr>
          <w:bCs/>
        </w:rPr>
        <w:t>In RAN1 #96Bis following agreements were made</w:t>
      </w:r>
      <w:r w:rsidR="007520C8" w:rsidRPr="00CD21AC">
        <w:rPr>
          <w:bCs/>
        </w:rPr>
        <w:t xml:space="preserve"> [3]</w:t>
      </w:r>
      <w:r w:rsidRPr="00CD21AC">
        <w:rPr>
          <w:bCs/>
        </w:rPr>
        <w:t>:</w:t>
      </w:r>
    </w:p>
    <w:tbl>
      <w:tblPr>
        <w:tblStyle w:val="TableGrid"/>
        <w:tblW w:w="0" w:type="auto"/>
        <w:tblLook w:val="04A0" w:firstRow="1" w:lastRow="0" w:firstColumn="1" w:lastColumn="0" w:noHBand="0" w:noVBand="1"/>
      </w:tblPr>
      <w:tblGrid>
        <w:gridCol w:w="9621"/>
      </w:tblGrid>
      <w:tr w:rsidR="00AE0431" w14:paraId="4096C406" w14:textId="77777777" w:rsidTr="00AE0431">
        <w:tc>
          <w:tcPr>
            <w:tcW w:w="9621" w:type="dxa"/>
          </w:tcPr>
          <w:p w14:paraId="72EAE508" w14:textId="77777777" w:rsidR="00AE0431" w:rsidRPr="00506501" w:rsidRDefault="00AE0431" w:rsidP="00AE0431">
            <w:pPr>
              <w:ind w:left="1440" w:hanging="1440"/>
              <w:rPr>
                <w:highlight w:val="darkYellow"/>
              </w:rPr>
            </w:pPr>
            <w:r w:rsidRPr="00506501">
              <w:rPr>
                <w:highlight w:val="darkYellow"/>
              </w:rPr>
              <w:t>Working assumption:</w:t>
            </w:r>
          </w:p>
          <w:p w14:paraId="38614F5B" w14:textId="77777777" w:rsidR="00AE0431" w:rsidRPr="00BE0FDB" w:rsidRDefault="00AE0431" w:rsidP="00AE0431">
            <w:pPr>
              <w:pStyle w:val="ListParagraph"/>
              <w:numPr>
                <w:ilvl w:val="0"/>
                <w:numId w:val="10"/>
              </w:numPr>
              <w:spacing w:after="180"/>
              <w:rPr>
                <w:sz w:val="22"/>
                <w:szCs w:val="18"/>
              </w:rPr>
            </w:pPr>
            <w:r w:rsidRPr="00BE0FDB">
              <w:rPr>
                <w:sz w:val="22"/>
                <w:szCs w:val="18"/>
                <w:lang w:eastAsia="zh-CN"/>
              </w:rPr>
              <w:t xml:space="preserve">For Tx/Tx overlap, </w:t>
            </w:r>
          </w:p>
          <w:p w14:paraId="082E1BD2" w14:textId="77777777" w:rsidR="00AE0431" w:rsidRPr="00BE0FDB" w:rsidRDefault="00AE0431" w:rsidP="00AE0431">
            <w:pPr>
              <w:pStyle w:val="ListParagraph"/>
              <w:numPr>
                <w:ilvl w:val="1"/>
                <w:numId w:val="10"/>
              </w:numPr>
              <w:spacing w:after="180"/>
              <w:rPr>
                <w:sz w:val="22"/>
                <w:szCs w:val="18"/>
              </w:rPr>
            </w:pPr>
            <w:r w:rsidRPr="00BE0FDB">
              <w:rPr>
                <w:sz w:val="22"/>
                <w:szCs w:val="18"/>
                <w:lang w:eastAsia="zh-CN"/>
              </w:rPr>
              <w:lastRenderedPageBreak/>
              <w:t xml:space="preserve">If packet priorities of both LTE and NR sidelink transmissions are known to both RATs prior to time of transmission subject to processing time restriction, then the packet with a higher relative priority is transmitted </w:t>
            </w:r>
          </w:p>
          <w:p w14:paraId="6BEDFEE2" w14:textId="77777777" w:rsidR="00AE0431" w:rsidRPr="00BE0FDB" w:rsidRDefault="00AE0431" w:rsidP="00AE0431">
            <w:pPr>
              <w:pStyle w:val="ListParagraph"/>
              <w:numPr>
                <w:ilvl w:val="2"/>
                <w:numId w:val="10"/>
              </w:numPr>
              <w:spacing w:after="180"/>
              <w:rPr>
                <w:sz w:val="22"/>
                <w:szCs w:val="18"/>
              </w:rPr>
            </w:pPr>
            <w:r w:rsidRPr="00BE0FDB">
              <w:rPr>
                <w:sz w:val="22"/>
                <w:szCs w:val="18"/>
              </w:rPr>
              <w:t xml:space="preserve">In case the priorities of LTE and NR SL transmissions are the same, then it is up to UE implementation as to which transmission is chosen (e.g., </w:t>
            </w:r>
            <w:proofErr w:type="gramStart"/>
            <w:r w:rsidRPr="00BE0FDB">
              <w:rPr>
                <w:sz w:val="22"/>
                <w:szCs w:val="18"/>
              </w:rPr>
              <w:t>taking into account</w:t>
            </w:r>
            <w:proofErr w:type="gramEnd"/>
            <w:r w:rsidRPr="00BE0FDB">
              <w:rPr>
                <w:sz w:val="22"/>
                <w:szCs w:val="18"/>
              </w:rPr>
              <w:t xml:space="preserve"> congestion, etc.)</w:t>
            </w:r>
          </w:p>
          <w:p w14:paraId="24581BC4" w14:textId="77777777" w:rsidR="00AE0431" w:rsidRPr="00BE0FDB" w:rsidRDefault="00AE0431" w:rsidP="00AE0431">
            <w:pPr>
              <w:pStyle w:val="ListParagraph"/>
              <w:numPr>
                <w:ilvl w:val="1"/>
                <w:numId w:val="10"/>
              </w:numPr>
              <w:spacing w:after="180"/>
              <w:rPr>
                <w:sz w:val="22"/>
                <w:szCs w:val="18"/>
              </w:rPr>
            </w:pPr>
            <w:r w:rsidRPr="00BE0FDB">
              <w:rPr>
                <w:sz w:val="22"/>
                <w:szCs w:val="18"/>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0C8E0D09" w14:textId="632DE4D3" w:rsidR="00AE0431" w:rsidRDefault="00AE0431" w:rsidP="00AE0431">
            <w:pPr>
              <w:rPr>
                <w:b/>
              </w:rPr>
            </w:pPr>
            <w:r w:rsidRPr="00506501">
              <w:t>RAN1 does not assume any impact to LTE physical layer specifications</w:t>
            </w:r>
          </w:p>
        </w:tc>
      </w:tr>
    </w:tbl>
    <w:p w14:paraId="17071D55" w14:textId="5351BC97" w:rsidR="00AE0431" w:rsidRDefault="00AE0431" w:rsidP="00161DB7">
      <w:pPr>
        <w:rPr>
          <w:b/>
        </w:rPr>
      </w:pPr>
    </w:p>
    <w:p w14:paraId="01BCC533" w14:textId="166D3A36" w:rsidR="00AE0431" w:rsidRPr="00CD21AC" w:rsidRDefault="00AE0431" w:rsidP="00161DB7">
      <w:pPr>
        <w:rPr>
          <w:bCs/>
        </w:rPr>
      </w:pPr>
      <w:r w:rsidRPr="00CD21AC">
        <w:rPr>
          <w:bCs/>
        </w:rPr>
        <w:t>In RAN1 #97 following agreements were made</w:t>
      </w:r>
      <w:r w:rsidR="007520C8" w:rsidRPr="00CD21AC">
        <w:rPr>
          <w:bCs/>
        </w:rPr>
        <w:t xml:space="preserve"> [2]</w:t>
      </w:r>
      <w:r w:rsidRPr="00CD21AC">
        <w:rPr>
          <w:bCs/>
        </w:rPr>
        <w:t>:</w:t>
      </w:r>
    </w:p>
    <w:tbl>
      <w:tblPr>
        <w:tblStyle w:val="TableGrid"/>
        <w:tblW w:w="0" w:type="auto"/>
        <w:tblLook w:val="04A0" w:firstRow="1" w:lastRow="0" w:firstColumn="1" w:lastColumn="0" w:noHBand="0" w:noVBand="1"/>
      </w:tblPr>
      <w:tblGrid>
        <w:gridCol w:w="9621"/>
      </w:tblGrid>
      <w:tr w:rsidR="00AE0431" w14:paraId="4DBC71D9" w14:textId="77777777" w:rsidTr="00AE0431">
        <w:tc>
          <w:tcPr>
            <w:tcW w:w="9621" w:type="dxa"/>
          </w:tcPr>
          <w:p w14:paraId="516868D3" w14:textId="77777777" w:rsidR="00AE0431" w:rsidRPr="00875F25" w:rsidRDefault="00AE0431" w:rsidP="00AE0431">
            <w:pPr>
              <w:rPr>
                <w:sz w:val="18"/>
                <w:szCs w:val="18"/>
              </w:rPr>
            </w:pPr>
            <w:r w:rsidRPr="00875F25">
              <w:rPr>
                <w:sz w:val="18"/>
                <w:szCs w:val="18"/>
                <w:highlight w:val="green"/>
              </w:rPr>
              <w:t>Agreements</w:t>
            </w:r>
            <w:r w:rsidRPr="00875F25">
              <w:rPr>
                <w:sz w:val="18"/>
                <w:szCs w:val="18"/>
              </w:rPr>
              <w:t>:</w:t>
            </w:r>
          </w:p>
          <w:p w14:paraId="2D8A3C12" w14:textId="77777777" w:rsidR="00AE0431" w:rsidRPr="00875F25" w:rsidRDefault="00AE0431" w:rsidP="00AE0431">
            <w:pPr>
              <w:pStyle w:val="ListParagraph"/>
              <w:numPr>
                <w:ilvl w:val="0"/>
                <w:numId w:val="10"/>
              </w:numPr>
              <w:spacing w:after="180"/>
              <w:rPr>
                <w:sz w:val="22"/>
                <w:szCs w:val="18"/>
              </w:rPr>
            </w:pPr>
            <w:r w:rsidRPr="00875F25">
              <w:rPr>
                <w:sz w:val="22"/>
                <w:szCs w:val="18"/>
                <w:lang w:eastAsia="zh-CN"/>
              </w:rPr>
              <w:t>For Tx/Tx overlap,</w:t>
            </w:r>
          </w:p>
          <w:p w14:paraId="2B2F5B14" w14:textId="77777777" w:rsidR="00AE0431" w:rsidRPr="00875F25" w:rsidRDefault="00AE0431" w:rsidP="00AE0431">
            <w:pPr>
              <w:pStyle w:val="ListParagraph"/>
              <w:numPr>
                <w:ilvl w:val="1"/>
                <w:numId w:val="10"/>
              </w:numPr>
              <w:spacing w:after="180"/>
              <w:rPr>
                <w:sz w:val="22"/>
                <w:szCs w:val="18"/>
              </w:rPr>
            </w:pPr>
            <w:r w:rsidRPr="00875F25">
              <w:rPr>
                <w:sz w:val="22"/>
                <w:szCs w:val="18"/>
                <w:lang w:eastAsia="zh-CN"/>
              </w:rPr>
              <w:t>Confirm the working assumption made in RAN1#96bis</w:t>
            </w:r>
          </w:p>
          <w:p w14:paraId="52C5CE41" w14:textId="77777777" w:rsidR="00AE0431" w:rsidRPr="00875F25" w:rsidRDefault="00AE0431" w:rsidP="00AE0431">
            <w:pPr>
              <w:pStyle w:val="ListParagraph"/>
              <w:numPr>
                <w:ilvl w:val="1"/>
                <w:numId w:val="10"/>
              </w:numPr>
              <w:spacing w:after="180"/>
              <w:rPr>
                <w:sz w:val="22"/>
                <w:szCs w:val="18"/>
              </w:rPr>
            </w:pPr>
            <w:r w:rsidRPr="00875F25">
              <w:rPr>
                <w:sz w:val="22"/>
                <w:szCs w:val="18"/>
              </w:rPr>
              <w:t xml:space="preserve">UE capability is defined for short-term </w:t>
            </w:r>
            <w:proofErr w:type="gramStart"/>
            <w:r w:rsidRPr="00875F25">
              <w:rPr>
                <w:sz w:val="22"/>
                <w:szCs w:val="18"/>
              </w:rPr>
              <w:t>time-scale</w:t>
            </w:r>
            <w:proofErr w:type="gramEnd"/>
            <w:r w:rsidRPr="00875F25">
              <w:rPr>
                <w:sz w:val="22"/>
                <w:szCs w:val="18"/>
              </w:rPr>
              <w:t xml:space="preserve"> TDM for in-device coexistence</w:t>
            </w:r>
          </w:p>
          <w:p w14:paraId="0986721A" w14:textId="77777777" w:rsidR="00AE0431" w:rsidRPr="00875F25" w:rsidRDefault="00AE0431" w:rsidP="00AE0431">
            <w:pPr>
              <w:rPr>
                <w:sz w:val="18"/>
                <w:szCs w:val="18"/>
              </w:rPr>
            </w:pPr>
            <w:r w:rsidRPr="00875F25">
              <w:rPr>
                <w:sz w:val="18"/>
                <w:szCs w:val="18"/>
                <w:highlight w:val="green"/>
              </w:rPr>
              <w:t>Agreements</w:t>
            </w:r>
            <w:r w:rsidRPr="00875F25">
              <w:rPr>
                <w:sz w:val="18"/>
                <w:szCs w:val="18"/>
              </w:rPr>
              <w:t>:</w:t>
            </w:r>
          </w:p>
          <w:p w14:paraId="05D404CC" w14:textId="77777777" w:rsidR="00AE0431" w:rsidRPr="00875F25" w:rsidRDefault="00AE0431" w:rsidP="00AE0431">
            <w:pPr>
              <w:pStyle w:val="ListParagraph"/>
              <w:numPr>
                <w:ilvl w:val="0"/>
                <w:numId w:val="10"/>
              </w:numPr>
              <w:spacing w:after="180"/>
              <w:rPr>
                <w:sz w:val="22"/>
                <w:szCs w:val="18"/>
              </w:rPr>
            </w:pPr>
            <w:r w:rsidRPr="00875F25">
              <w:rPr>
                <w:sz w:val="22"/>
                <w:szCs w:val="18"/>
              </w:rPr>
              <w:t xml:space="preserve">For Rx/Rx overlap, </w:t>
            </w:r>
          </w:p>
          <w:p w14:paraId="75801542" w14:textId="31C8C62D" w:rsidR="00AE0431" w:rsidRDefault="00AE0431" w:rsidP="00AE0431">
            <w:pPr>
              <w:rPr>
                <w:b/>
              </w:rPr>
            </w:pPr>
            <w:r w:rsidRPr="00875F25">
              <w:rPr>
                <w:sz w:val="22"/>
                <w:szCs w:val="18"/>
              </w:rPr>
              <w:t>Up to UE implementation to manage receptions of LTE and NR sidelinks.</w:t>
            </w:r>
          </w:p>
        </w:tc>
      </w:tr>
    </w:tbl>
    <w:p w14:paraId="394B7A7F" w14:textId="77777777" w:rsidR="00AE0431" w:rsidRPr="00617C51" w:rsidRDefault="00AE0431" w:rsidP="00161DB7">
      <w:pPr>
        <w:rPr>
          <w:b/>
        </w:rPr>
      </w:pPr>
    </w:p>
    <w:p w14:paraId="4C95530B" w14:textId="6A3EDCB2" w:rsidR="00161DB7" w:rsidRDefault="00AE0431" w:rsidP="00161DB7">
      <w:pPr>
        <w:rPr>
          <w:b/>
        </w:rPr>
      </w:pPr>
      <w:r>
        <w:t xml:space="preserve">We think Tx/Tx overlap cases has been resolved with the agreements in prior meeting. However, </w:t>
      </w:r>
      <w:r w:rsidR="00161DB7">
        <w:t xml:space="preserve">in this case, the decision to prioritize NR packet over LTE packet or vice versa should depend on each application. It is better that some configurable rule is provided to UE over certain priority of LTE packet. </w:t>
      </w:r>
    </w:p>
    <w:p w14:paraId="179FA231" w14:textId="08A582B1" w:rsidR="00161DB7" w:rsidRDefault="00161DB7" w:rsidP="00161DB7">
      <w:pPr>
        <w:rPr>
          <w:b/>
        </w:rPr>
      </w:pPr>
      <w:r w:rsidRPr="00617C51">
        <w:rPr>
          <w:b/>
        </w:rPr>
        <w:t xml:space="preserve">Proposal </w:t>
      </w:r>
      <w:r w:rsidR="00AE0431">
        <w:rPr>
          <w:b/>
        </w:rPr>
        <w:t>1</w:t>
      </w:r>
      <w:r w:rsidRPr="00617C51">
        <w:rPr>
          <w:b/>
        </w:rPr>
        <w:t xml:space="preserve">: </w:t>
      </w:r>
      <w:r>
        <w:rPr>
          <w:b/>
        </w:rPr>
        <w:t>T</w:t>
      </w:r>
      <w:r w:rsidRPr="00617C51">
        <w:rPr>
          <w:b/>
        </w:rPr>
        <w:t xml:space="preserve">he rule to prioritize NR packet of a certain priority to LTE packet of another certain priority and vice versa is configured </w:t>
      </w:r>
      <w:r>
        <w:rPr>
          <w:b/>
        </w:rPr>
        <w:t>in the UE</w:t>
      </w:r>
      <w:r w:rsidRPr="00617C51">
        <w:rPr>
          <w:b/>
        </w:rPr>
        <w:t xml:space="preserve">.  </w:t>
      </w:r>
    </w:p>
    <w:p w14:paraId="621DF96E" w14:textId="77777777" w:rsidR="00161DB7" w:rsidRDefault="00161DB7" w:rsidP="00161DB7">
      <w:r>
        <w:t>The discussion we have so far only involve Tx/Tx collision. At first glance, one may want to apply the same solution of the Tx/Tx collision case to the Tx/Rx case. However, there are 2 fundamental differences:</w:t>
      </w:r>
    </w:p>
    <w:p w14:paraId="32F6E3AD" w14:textId="77777777" w:rsidR="00161DB7" w:rsidRDefault="00161DB7" w:rsidP="00161DB7">
      <w:pPr>
        <w:numPr>
          <w:ilvl w:val="0"/>
          <w:numId w:val="6"/>
        </w:numPr>
      </w:pPr>
      <w:r>
        <w:t xml:space="preserve">In Tx/Tx case, each RAT only transmits for a limited amount of time. So, it is possible to try choosing overlapping resources for each RAT transmissions, and the UE should be encouraged to do so by the specification. In Tx/Rx case, one RAT is always in receiving mode when it is not transmitting. </w:t>
      </w:r>
      <w:proofErr w:type="gramStart"/>
      <w:r>
        <w:t>So</w:t>
      </w:r>
      <w:proofErr w:type="gramEnd"/>
      <w:r>
        <w:t xml:space="preserve"> the UE does not have a choice here.</w:t>
      </w:r>
    </w:p>
    <w:p w14:paraId="44894135" w14:textId="77777777" w:rsidR="00161DB7" w:rsidRDefault="00161DB7" w:rsidP="00161DB7">
      <w:pPr>
        <w:numPr>
          <w:ilvl w:val="0"/>
          <w:numId w:val="6"/>
        </w:numPr>
      </w:pPr>
      <w:r>
        <w:t>In Tx/Tx case, when the 2 transmissions from 2 RAT collide, under a certain condition, the UE can make use of the priority information to resolve the prioritization between LTE V2X transmission and NR V2X transmission. For the Tx/Rx case, normally the priority of the received packet is not known until the corresponding SCI is decoded, which is already too late to notify the other RAT. Even if it knows the priority of a certain expected incoming transmission (e.g. in the case of retransmission where the previous SCI is successfully decoded), it does not know if there are any other incoming transmissions and what are their priorities.</w:t>
      </w:r>
    </w:p>
    <w:p w14:paraId="60977488" w14:textId="77777777" w:rsidR="00161DB7" w:rsidRDefault="00161DB7" w:rsidP="00161DB7">
      <w:r>
        <w:t>Given that each transmission in one RAT guarantee a reception failure on the other RAT. The only way to limit reception loss on one RAT is to impose an on-time restriction on the other RAT, which will in turn limit the per UE throughput. So, the trade-off here is to find out the maximum on-time allowed for 1 RAT that still incur acceptable performance degradation on the other RAT reception. The proper cap value depends on deployment scenario, so it best to be pre-configured or RRC configured to each UE.</w:t>
      </w:r>
    </w:p>
    <w:p w14:paraId="2D5E5CED" w14:textId="77777777" w:rsidR="00161DB7" w:rsidRDefault="00161DB7" w:rsidP="00161DB7">
      <w:r>
        <w:t xml:space="preserve">Given that receiving packet priority cannot be reliably obtained, we think that the best solution should not rely this information but instead on the priority of the transmitting packet on the other RAT alone. A preferred solution is to define different data interruption allowance to one RAT for different priority of transmitting packet on the other RAT. For example, an application with high priority and high reliable requirement can have a higher data reception </w:t>
      </w:r>
      <w:r>
        <w:lastRenderedPageBreak/>
        <w:t>interruption allowance to the other RAT. This allow the UE to transmit more frequently and reduce packet dropping since any packet dropped counts toward degradation in reliability. Since LTE-V2X transmission is anyways can be 2% for basic safety message so for NR-V2X certain amount for maximum allowed interruption of LTE-V2X reception can be pre-configured for each priority packet.</w:t>
      </w:r>
    </w:p>
    <w:p w14:paraId="181FA992" w14:textId="5093749A" w:rsidR="00161DB7" w:rsidRPr="0000622C" w:rsidRDefault="00161DB7" w:rsidP="00161DB7">
      <w:pPr>
        <w:rPr>
          <w:b/>
        </w:rPr>
      </w:pPr>
      <w:r w:rsidRPr="0000622C">
        <w:rPr>
          <w:b/>
        </w:rPr>
        <w:t xml:space="preserve">Proposal </w:t>
      </w:r>
      <w:r w:rsidR="00AE0431">
        <w:rPr>
          <w:b/>
        </w:rPr>
        <w:t>2</w:t>
      </w:r>
      <w:r w:rsidRPr="0000622C">
        <w:rPr>
          <w:b/>
        </w:rPr>
        <w:t xml:space="preserve">: </w:t>
      </w:r>
      <w:r>
        <w:rPr>
          <w:b/>
        </w:rPr>
        <w:t xml:space="preserve">For </w:t>
      </w:r>
      <w:r w:rsidRPr="0000622C">
        <w:rPr>
          <w:b/>
        </w:rPr>
        <w:t xml:space="preserve">NR-V2X certain amount for maximum allowed interruption </w:t>
      </w:r>
      <w:r>
        <w:rPr>
          <w:b/>
        </w:rPr>
        <w:t>of</w:t>
      </w:r>
      <w:r w:rsidRPr="0000622C">
        <w:rPr>
          <w:b/>
        </w:rPr>
        <w:t xml:space="preserve"> LTE-V2X reception can be pre-configured for each priority packet.</w:t>
      </w:r>
    </w:p>
    <w:p w14:paraId="11B905BB" w14:textId="77777777" w:rsidR="00161DB7" w:rsidRDefault="00161DB7" w:rsidP="00161DB7">
      <w:pPr>
        <w:pStyle w:val="Heading2"/>
      </w:pPr>
      <w:r>
        <w:t>UE with Base Station Scheduling.</w:t>
      </w:r>
    </w:p>
    <w:p w14:paraId="021D998D" w14:textId="77777777" w:rsidR="00161DB7" w:rsidRDefault="00161DB7" w:rsidP="00161DB7">
      <w:r>
        <w:t>We consider here, in particular 2 sub cases:</w:t>
      </w:r>
    </w:p>
    <w:p w14:paraId="449855B1" w14:textId="77777777" w:rsidR="00161DB7" w:rsidRDefault="00161DB7" w:rsidP="00161DB7">
      <w:pPr>
        <w:numPr>
          <w:ilvl w:val="0"/>
          <w:numId w:val="7"/>
        </w:numPr>
      </w:pPr>
      <w:r>
        <w:t>LTE V2X resources are scheduled by eNB, NR V2X autonomously select resources</w:t>
      </w:r>
    </w:p>
    <w:p w14:paraId="231C4C3C" w14:textId="77777777" w:rsidR="00161DB7" w:rsidRDefault="00161DB7" w:rsidP="00161DB7">
      <w:pPr>
        <w:numPr>
          <w:ilvl w:val="0"/>
          <w:numId w:val="7"/>
        </w:numPr>
      </w:pPr>
      <w:r>
        <w:t>NR V2X resources are scheduled by gNB, LTE V2X autonomously select resources.</w:t>
      </w:r>
    </w:p>
    <w:p w14:paraId="0FA5579E" w14:textId="77777777" w:rsidR="00161DB7" w:rsidRPr="003167E5" w:rsidRDefault="00161DB7" w:rsidP="00161DB7">
      <w:pPr>
        <w:numPr>
          <w:ilvl w:val="0"/>
          <w:numId w:val="7"/>
        </w:numPr>
      </w:pPr>
      <w:r>
        <w:t>The sub case of LTE V2X resources are scheduled by eNB and NR V2X resources are scheduled by gNB is not considered, since it is not in the scope of the study item.</w:t>
      </w:r>
    </w:p>
    <w:p w14:paraId="551EF641" w14:textId="77777777" w:rsidR="00161DB7" w:rsidRDefault="00161DB7" w:rsidP="00161DB7">
      <w:pPr>
        <w:rPr>
          <w:sz w:val="22"/>
          <w:szCs w:val="22"/>
        </w:rPr>
      </w:pPr>
      <w:r w:rsidRPr="005E5E08">
        <w:rPr>
          <w:sz w:val="22"/>
          <w:szCs w:val="22"/>
        </w:rPr>
        <w:t>Most of</w:t>
      </w:r>
      <w:r>
        <w:rPr>
          <w:sz w:val="22"/>
          <w:szCs w:val="22"/>
        </w:rPr>
        <w:t xml:space="preserve"> the discussion in 2.1 still applies here, i.e. TDM type of solution is the preferred solution, where 1) the UE try to utilise all available information about the other RAT resources and priority to minimize the amount of Tx/Tx collision; 2) when collision does happen it is up to the UE to resolve the collision within the missed reservation allowances provisioned by application layer and 3) the UE is also to manage its transmission time in order to cause interruption to the other RAT reception within the allowances provisioned by application layer. </w:t>
      </w:r>
    </w:p>
    <w:p w14:paraId="1FD9FBC0" w14:textId="77777777" w:rsidR="00161DB7" w:rsidRDefault="00161DB7" w:rsidP="00161DB7">
      <w:pPr>
        <w:rPr>
          <w:sz w:val="22"/>
          <w:szCs w:val="22"/>
        </w:rPr>
      </w:pPr>
      <w:r>
        <w:rPr>
          <w:sz w:val="22"/>
          <w:szCs w:val="22"/>
        </w:rPr>
        <w:t>There are, however, some minor adaptations involved, which will be laid out below:</w:t>
      </w:r>
    </w:p>
    <w:p w14:paraId="089BA9F4" w14:textId="77777777" w:rsidR="00161DB7" w:rsidRDefault="00161DB7" w:rsidP="00161DB7">
      <w:pPr>
        <w:numPr>
          <w:ilvl w:val="0"/>
          <w:numId w:val="8"/>
        </w:numPr>
      </w:pPr>
      <w:r>
        <w:rPr>
          <w:sz w:val="22"/>
          <w:szCs w:val="22"/>
        </w:rPr>
        <w:t xml:space="preserve"> </w:t>
      </w:r>
      <w:r>
        <w:t xml:space="preserve">LTE V2X resources are scheduled by eNB, NR V2X autonomously select resources. For the case that LTE V2X using information about NR resource and priority to resolve Tx/Tx collision. Since UE does not select resource by itself, it has to forward all this information to the eNB and wait for the new direction. However, this requires new signalling defined for LTE spec. The alternative is not to request a new grant or forwarding any information. The UE can decide on its own which transmission to transmit based on priority resolution rule configured by upper layer. If some certain LTE transmissions need to be dropped according to this rule, current LTE spec have enough provision for UE to do this. </w:t>
      </w:r>
    </w:p>
    <w:p w14:paraId="56D3A7C4" w14:textId="77777777" w:rsidR="00161DB7" w:rsidRDefault="00161DB7" w:rsidP="00161DB7">
      <w:pPr>
        <w:numPr>
          <w:ilvl w:val="0"/>
          <w:numId w:val="8"/>
        </w:numPr>
      </w:pPr>
      <w:r>
        <w:t xml:space="preserve">NR V2X resources are scheduled by gNB, LTE V2X autonomously select resources. In cases where new resources are needed in order to avoid an upcoming LTE transmission, UE can forward information about LTE upcoming transmission to gNB and gNB will decide if a new resource is needed/or UE should keep transmitting on the scheduled resources/or it should drop the transmission. Otherwise, UE can make the decision whether to avoid LTE transmission itself based on upper layer configured priority resolution rule, and then request a new grant. In our view, the later solution will lead to a cleaner spec and hence is preferred.  </w:t>
      </w:r>
    </w:p>
    <w:p w14:paraId="10D7F7E7" w14:textId="43ED098B" w:rsidR="00161DB7" w:rsidRDefault="00161DB7" w:rsidP="00161DB7">
      <w:pPr>
        <w:rPr>
          <w:b/>
        </w:rPr>
      </w:pPr>
      <w:r w:rsidRPr="00183CE6">
        <w:rPr>
          <w:b/>
        </w:rPr>
        <w:t xml:space="preserve">Proposal </w:t>
      </w:r>
      <w:r w:rsidR="007520C8">
        <w:rPr>
          <w:b/>
        </w:rPr>
        <w:t>3</w:t>
      </w:r>
      <w:r w:rsidRPr="00183CE6">
        <w:rPr>
          <w:b/>
        </w:rPr>
        <w:t>:</w:t>
      </w:r>
      <w:r>
        <w:rPr>
          <w:b/>
        </w:rPr>
        <w:t xml:space="preserve"> </w:t>
      </w:r>
      <w:r w:rsidRPr="00183CE6">
        <w:rPr>
          <w:b/>
        </w:rPr>
        <w:t xml:space="preserve">For LTE V2X in Mode 3 and NR V2X in mode 2. If LTE V2X detect a future collision of its SPS process and NR reserved resources, no new grant will be requested. The UE will resolve this collision using configured priority resolution rule and drop LTE transmission when needed. </w:t>
      </w:r>
    </w:p>
    <w:p w14:paraId="484E0965" w14:textId="7793EBEA" w:rsidR="00161DB7" w:rsidRDefault="00161DB7" w:rsidP="00161DB7">
      <w:pPr>
        <w:rPr>
          <w:b/>
        </w:rPr>
      </w:pPr>
      <w:r>
        <w:rPr>
          <w:b/>
        </w:rPr>
        <w:t xml:space="preserve">Proposal </w:t>
      </w:r>
      <w:r w:rsidR="007520C8">
        <w:rPr>
          <w:b/>
        </w:rPr>
        <w:t>4</w:t>
      </w:r>
      <w:r>
        <w:rPr>
          <w:b/>
        </w:rPr>
        <w:t xml:space="preserve">: For NR V2X in Mode 1 and LTE V2X in Mode 4. If NR V2X detects a future collision of its reserved resource and LTE resource, it will </w:t>
      </w:r>
      <w:r w:rsidRPr="001920D4">
        <w:rPr>
          <w:b/>
        </w:rPr>
        <w:t>resolve this collision using configured priority resolution rule</w:t>
      </w:r>
      <w:r>
        <w:rPr>
          <w:b/>
        </w:rPr>
        <w:t>. In case NR V2X transmission needs to be dropped, a new resource request can be sent to ask for a new grant.</w:t>
      </w:r>
    </w:p>
    <w:p w14:paraId="76DFB9B4" w14:textId="4821061E" w:rsidR="00161DB7" w:rsidRDefault="00161DB7" w:rsidP="00161DB7">
      <w:pPr>
        <w:pStyle w:val="Heading2"/>
      </w:pPr>
      <w:r>
        <w:t>Handling LTE V2X and NR V2X priorities information</w:t>
      </w:r>
    </w:p>
    <w:p w14:paraId="35F497F9" w14:textId="5B309E13" w:rsidR="00161DB7" w:rsidRDefault="00161DB7" w:rsidP="00161DB7">
      <w:r>
        <w:t>As RAN1 has agreed that packet priority can be used to resolve transmission/transmission overlap collision when that information is available on time, we discuss in this subsection solutions to make use of such information.</w:t>
      </w:r>
      <w:r w:rsidR="005218B4">
        <w:t xml:space="preserve"> According to the LS from SA2 [1].</w:t>
      </w:r>
    </w:p>
    <w:tbl>
      <w:tblPr>
        <w:tblStyle w:val="TableGrid"/>
        <w:tblW w:w="0" w:type="auto"/>
        <w:tblLook w:val="04A0" w:firstRow="1" w:lastRow="0" w:firstColumn="1" w:lastColumn="0" w:noHBand="0" w:noVBand="1"/>
      </w:tblPr>
      <w:tblGrid>
        <w:gridCol w:w="9621"/>
      </w:tblGrid>
      <w:tr w:rsidR="00F53ABF" w14:paraId="5870DBD6" w14:textId="77777777" w:rsidTr="00F53ABF">
        <w:tc>
          <w:tcPr>
            <w:tcW w:w="9621" w:type="dxa"/>
          </w:tcPr>
          <w:p w14:paraId="7CAE8A2A" w14:textId="77777777" w:rsidR="00F53ABF" w:rsidRPr="00F53ABF" w:rsidRDefault="00F53ABF" w:rsidP="00F53ABF">
            <w:pPr>
              <w:pStyle w:val="Heading3"/>
              <w:numPr>
                <w:ilvl w:val="0"/>
                <w:numId w:val="0"/>
              </w:numPr>
              <w:ind w:left="1080"/>
              <w:outlineLvl w:val="2"/>
            </w:pPr>
            <w:bookmarkStart w:id="4" w:name="_Toc532891680"/>
            <w:r w:rsidRPr="00F53ABF">
              <w:lastRenderedPageBreak/>
              <w:t>5.4.y.3            Priority Level</w:t>
            </w:r>
            <w:bookmarkEnd w:id="4"/>
          </w:p>
          <w:p w14:paraId="4EF75CE7" w14:textId="77777777" w:rsidR="00F53ABF" w:rsidRPr="00F53ABF" w:rsidRDefault="00F53ABF" w:rsidP="00F53ABF">
            <w:pPr>
              <w:ind w:left="720"/>
              <w:rPr>
                <w:rFonts w:eastAsiaTheme="minorHAnsi"/>
                <w:lang w:val="en-US"/>
              </w:rPr>
            </w:pPr>
            <w:r w:rsidRPr="00F53ABF">
              <w:rPr>
                <w:highlight w:val="yellow"/>
              </w:rPr>
              <w:t>The Priority Level has the same format and meaning as that of the ProSe Per-Packet Priority (PPPP)</w:t>
            </w:r>
            <w:r w:rsidRPr="00F53ABF">
              <w:t xml:space="preserve"> defined in TS 23.285 [8]. </w:t>
            </w:r>
          </w:p>
          <w:p w14:paraId="02B3D646" w14:textId="77777777" w:rsidR="00F53ABF" w:rsidRPr="00F53ABF" w:rsidRDefault="00F53ABF" w:rsidP="00F53ABF">
            <w:pPr>
              <w:pStyle w:val="NO"/>
              <w:ind w:left="1855"/>
              <w:rPr>
                <w:lang w:val="en-GB"/>
              </w:rPr>
            </w:pPr>
            <w:r w:rsidRPr="00F53ABF">
              <w:rPr>
                <w:lang w:val="en-GB"/>
              </w:rPr>
              <w:t xml:space="preserve">NOTE: Using the same format for Priority Level and PPPP provides better backward compatibility. </w:t>
            </w:r>
          </w:p>
          <w:p w14:paraId="0F7D63F8" w14:textId="196F5809" w:rsidR="00F53ABF" w:rsidRDefault="00F53ABF" w:rsidP="00F53ABF">
            <w:pPr>
              <w:ind w:left="720"/>
            </w:pPr>
            <w:r w:rsidRPr="00F53ABF">
              <w:t xml:space="preserve">The Priority Level shall be used to different treatment of V2X service data across different mode of communication, i.e. broadcast, groupcast, and unicast. In case when all QoS requirements cannot be fulfilled for all the PC5 service data, the Priority Level shall be used to select for which PC5 service data the QoS requirements are prioritized such that a PC5 service data with Priority Level value N is prioritized over PC5 service data with higher Priority Level values,i.e. N+1, N+2, etc (lower number meaning higher priority). </w:t>
            </w:r>
          </w:p>
        </w:tc>
      </w:tr>
    </w:tbl>
    <w:p w14:paraId="732D166A" w14:textId="6272EBFB" w:rsidR="005218B4" w:rsidRPr="00161DB7" w:rsidRDefault="005218B4" w:rsidP="00161DB7">
      <w:r>
        <w:t xml:space="preserve">As NR V2X and LTE V2X share the same priority format, comparing the priorities is a matter </w:t>
      </w:r>
      <w:r w:rsidR="00ED4C9B">
        <w:t xml:space="preserve">directly comparing the </w:t>
      </w:r>
      <w:r w:rsidR="00892301">
        <w:t>Priority Value.</w:t>
      </w:r>
    </w:p>
    <w:p w14:paraId="74CB5589" w14:textId="77777777" w:rsidR="00161DB7" w:rsidRDefault="00161DB7" w:rsidP="00161DB7">
      <w:pPr>
        <w:pStyle w:val="Heading2"/>
      </w:pPr>
      <w:r>
        <w:t>Inter-band Scenario</w:t>
      </w:r>
    </w:p>
    <w:p w14:paraId="379D4D8D" w14:textId="77777777" w:rsidR="00161DB7" w:rsidRDefault="00161DB7" w:rsidP="00161DB7">
      <w:r>
        <w:t>Even though all the discussion so far implicitly assumes intra-band different channel scenario. All the proposed solutions do carry over to the inter-band scenario. Compared to intra-band scenario, inter-band has the advantage that there will be now Tx/Rx half duplex issue if the frequency separation is large enough. When the frequency separation is not large enough, the reception interruption sort of solution can be employed to limit transmission time of NR V2X per priority/5QI class.</w:t>
      </w:r>
    </w:p>
    <w:p w14:paraId="3D0A4944" w14:textId="266A248A" w:rsidR="00161DB7" w:rsidRPr="0027270B" w:rsidRDefault="00161DB7" w:rsidP="00F53ABF">
      <w:pPr>
        <w:rPr>
          <w:rFonts w:eastAsia="SimSun"/>
          <w:b/>
          <w:color w:val="000000"/>
          <w:lang w:eastAsia="zh-CN"/>
        </w:rPr>
      </w:pPr>
      <w:r w:rsidRPr="009F7E58">
        <w:rPr>
          <w:b/>
        </w:rPr>
        <w:t>Observation 2:</w:t>
      </w:r>
      <w:r w:rsidRPr="009F7E58">
        <w:t xml:space="preserve"> For inter</w:t>
      </w:r>
      <w:r>
        <w:t>-</w:t>
      </w:r>
      <w:r w:rsidRPr="009F7E58">
        <w:t xml:space="preserve">band scenario, all the solution discuss in Section 2 applies. If there is enough frequency separation, there is no need to handle Tx/Rx case.  </w:t>
      </w:r>
      <w:bookmarkEnd w:id="3"/>
      <w:r w:rsidRPr="0027270B">
        <w:rPr>
          <w:rFonts w:eastAsia="SimSun"/>
          <w:b/>
          <w:color w:val="000000"/>
          <w:lang w:eastAsia="zh-CN"/>
        </w:rPr>
        <w:t xml:space="preserve"> </w:t>
      </w:r>
    </w:p>
    <w:p w14:paraId="4EA99024" w14:textId="77777777" w:rsidR="00161DB7" w:rsidRDefault="00161DB7" w:rsidP="00161DB7">
      <w:pPr>
        <w:pStyle w:val="Heading1"/>
        <w:rPr>
          <w:lang w:eastAsia="zh-CN"/>
        </w:rPr>
      </w:pPr>
      <w:r>
        <w:rPr>
          <w:lang w:eastAsia="zh-CN"/>
        </w:rPr>
        <w:t>Conclusion</w:t>
      </w:r>
    </w:p>
    <w:p w14:paraId="5A0B9822" w14:textId="77777777" w:rsidR="00161DB7" w:rsidRDefault="00161DB7" w:rsidP="00161DB7">
      <w:pPr>
        <w:rPr>
          <w:lang w:eastAsia="zh-CN"/>
        </w:rPr>
      </w:pPr>
      <w:r>
        <w:rPr>
          <w:lang w:eastAsia="zh-CN"/>
        </w:rPr>
        <w:t>The following proposals are made regarding in-device co-existence:</w:t>
      </w:r>
    </w:p>
    <w:p w14:paraId="056A2722" w14:textId="63E50C02" w:rsidR="00161DB7" w:rsidRDefault="00161DB7" w:rsidP="00161DB7">
      <w:pPr>
        <w:rPr>
          <w:b/>
        </w:rPr>
      </w:pPr>
      <w:r w:rsidRPr="00617C51">
        <w:rPr>
          <w:b/>
        </w:rPr>
        <w:t xml:space="preserve">Proposal </w:t>
      </w:r>
      <w:r w:rsidR="007520C8">
        <w:rPr>
          <w:b/>
        </w:rPr>
        <w:t>1</w:t>
      </w:r>
      <w:r w:rsidRPr="00617C51">
        <w:rPr>
          <w:b/>
        </w:rPr>
        <w:t xml:space="preserve">: </w:t>
      </w:r>
      <w:r>
        <w:rPr>
          <w:b/>
        </w:rPr>
        <w:t>T</w:t>
      </w:r>
      <w:r w:rsidRPr="00617C51">
        <w:rPr>
          <w:b/>
        </w:rPr>
        <w:t xml:space="preserve">he rule to prioritize NR packet of a certain priority to LTE packet of another certain priority and vice versa is configured </w:t>
      </w:r>
      <w:r>
        <w:rPr>
          <w:b/>
        </w:rPr>
        <w:t>in the UE</w:t>
      </w:r>
      <w:r w:rsidRPr="00617C51">
        <w:rPr>
          <w:b/>
        </w:rPr>
        <w:t xml:space="preserve">.  </w:t>
      </w:r>
    </w:p>
    <w:p w14:paraId="546C03F0" w14:textId="650A9F30" w:rsidR="00161DB7" w:rsidRPr="0000622C" w:rsidRDefault="00161DB7" w:rsidP="00161DB7">
      <w:pPr>
        <w:rPr>
          <w:b/>
        </w:rPr>
      </w:pPr>
      <w:r w:rsidRPr="0000622C">
        <w:rPr>
          <w:b/>
        </w:rPr>
        <w:t xml:space="preserve">Proposal </w:t>
      </w:r>
      <w:r w:rsidR="007520C8">
        <w:rPr>
          <w:b/>
        </w:rPr>
        <w:t>2</w:t>
      </w:r>
      <w:r w:rsidRPr="0000622C">
        <w:rPr>
          <w:b/>
        </w:rPr>
        <w:t xml:space="preserve">: </w:t>
      </w:r>
      <w:r>
        <w:rPr>
          <w:b/>
        </w:rPr>
        <w:t xml:space="preserve">For </w:t>
      </w:r>
      <w:r w:rsidRPr="0000622C">
        <w:rPr>
          <w:b/>
        </w:rPr>
        <w:t xml:space="preserve">NR-V2X certain amount for maximum allowed interruption </w:t>
      </w:r>
      <w:r>
        <w:rPr>
          <w:b/>
        </w:rPr>
        <w:t>of</w:t>
      </w:r>
      <w:r w:rsidRPr="0000622C">
        <w:rPr>
          <w:b/>
        </w:rPr>
        <w:t xml:space="preserve"> LTE-V2X reception can be pre-configured for each priority packet.</w:t>
      </w:r>
    </w:p>
    <w:p w14:paraId="4EDFFE0E" w14:textId="6389D4F1" w:rsidR="00161DB7" w:rsidRDefault="00161DB7" w:rsidP="00161DB7">
      <w:pPr>
        <w:rPr>
          <w:b/>
        </w:rPr>
      </w:pPr>
      <w:r w:rsidRPr="00183CE6">
        <w:rPr>
          <w:b/>
        </w:rPr>
        <w:t xml:space="preserve">Proposal </w:t>
      </w:r>
      <w:r w:rsidR="007520C8">
        <w:rPr>
          <w:b/>
        </w:rPr>
        <w:t>3</w:t>
      </w:r>
      <w:r w:rsidRPr="00183CE6">
        <w:rPr>
          <w:b/>
        </w:rPr>
        <w:t>:</w:t>
      </w:r>
      <w:r>
        <w:rPr>
          <w:b/>
        </w:rPr>
        <w:t xml:space="preserve"> </w:t>
      </w:r>
      <w:r w:rsidRPr="00183CE6">
        <w:rPr>
          <w:b/>
        </w:rPr>
        <w:t xml:space="preserve">For LTE V2X in Mode 3 and NR V2X in mode 2. If LTE V2X detect a future collision of its SPS process and NR reserved resources, no new grant will be requested. The UE will resolve this collision using configured priority resolution rule and drop LTE transmission when needed. </w:t>
      </w:r>
    </w:p>
    <w:p w14:paraId="02224032" w14:textId="39BB1FF5" w:rsidR="00161DB7" w:rsidRPr="00183CE6" w:rsidRDefault="00161DB7" w:rsidP="00161DB7">
      <w:pPr>
        <w:rPr>
          <w:b/>
        </w:rPr>
      </w:pPr>
      <w:r>
        <w:rPr>
          <w:b/>
        </w:rPr>
        <w:t xml:space="preserve">Proposal </w:t>
      </w:r>
      <w:r w:rsidR="007520C8">
        <w:rPr>
          <w:b/>
        </w:rPr>
        <w:t>4</w:t>
      </w:r>
      <w:r>
        <w:rPr>
          <w:b/>
        </w:rPr>
        <w:t xml:space="preserve">: For NR V2X in Mode 1 and LTE V2X in Mode 2. If NR V2X detects a future collision of its reserved resource and LTE resource, it will </w:t>
      </w:r>
      <w:r w:rsidRPr="001920D4">
        <w:rPr>
          <w:b/>
        </w:rPr>
        <w:t>resolve this collision using configured priority resolution rule</w:t>
      </w:r>
      <w:r>
        <w:rPr>
          <w:b/>
        </w:rPr>
        <w:t>. In case NR V2X transmission needs to be dropped, a new resource request can be sent to ask for a new grant.</w:t>
      </w:r>
    </w:p>
    <w:p w14:paraId="77058139" w14:textId="77777777" w:rsidR="00161DB7" w:rsidRPr="00637D16" w:rsidRDefault="00161DB7" w:rsidP="00161DB7">
      <w:pPr>
        <w:rPr>
          <w:rFonts w:eastAsia="SimSun"/>
          <w:color w:val="000000"/>
          <w:lang w:eastAsia="zh-CN"/>
        </w:rPr>
      </w:pPr>
    </w:p>
    <w:p w14:paraId="3A23C49C" w14:textId="645346BE" w:rsidR="008B2948" w:rsidRPr="00B93BAD" w:rsidRDefault="008B2948" w:rsidP="00F53ABF">
      <w:pPr>
        <w:pStyle w:val="Heading1"/>
      </w:pPr>
      <w:bookmarkStart w:id="5" w:name="_Ref189809556"/>
      <w:bookmarkStart w:id="6" w:name="_Ref174151459"/>
      <w:bookmarkStart w:id="7" w:name="_Ref450865335"/>
      <w:r w:rsidRPr="00B93BAD">
        <w:t>Reference</w:t>
      </w:r>
      <w:bookmarkEnd w:id="5"/>
      <w:bookmarkEnd w:id="6"/>
      <w:bookmarkEnd w:id="7"/>
      <w:r w:rsidRPr="00B93BAD">
        <w:t>s</w:t>
      </w:r>
    </w:p>
    <w:p w14:paraId="11A2F61C" w14:textId="1C82A179" w:rsidR="008B2948" w:rsidRDefault="008B2948" w:rsidP="008B2948">
      <w:pPr>
        <w:spacing w:after="60"/>
        <w:ind w:left="1985" w:hanging="1985"/>
        <w:rPr>
          <w:rFonts w:cs="Arial"/>
          <w:lang w:val="en-US"/>
        </w:rPr>
      </w:pPr>
      <w:r>
        <w:t xml:space="preserve"> [1] </w:t>
      </w:r>
      <w:r w:rsidRPr="00CC4EE4">
        <w:t>S2-1904823, LS response</w:t>
      </w:r>
      <w:r>
        <w:rPr>
          <w:rFonts w:cs="Arial"/>
        </w:rPr>
        <w:t xml:space="preserve"> on </w:t>
      </w:r>
      <w:r>
        <w:rPr>
          <w:rFonts w:cs="Arial"/>
          <w:lang w:val="en-US"/>
        </w:rPr>
        <w:t>unicast, groupcast and broadcast in NR sidelink</w:t>
      </w:r>
    </w:p>
    <w:p w14:paraId="5A79550E" w14:textId="51BA49B7" w:rsidR="00875F25" w:rsidRDefault="00875F25" w:rsidP="008B2948">
      <w:pPr>
        <w:spacing w:after="60"/>
        <w:ind w:left="1985" w:hanging="1985"/>
        <w:rPr>
          <w:rFonts w:cs="Arial"/>
          <w:lang w:val="en-US"/>
        </w:rPr>
      </w:pPr>
      <w:r>
        <w:rPr>
          <w:rFonts w:cs="Arial"/>
          <w:lang w:val="en-US"/>
        </w:rPr>
        <w:t>[2] Chairman notes RAN1#97</w:t>
      </w:r>
    </w:p>
    <w:p w14:paraId="1B91EE1F" w14:textId="46D1409B" w:rsidR="007520C8" w:rsidRDefault="007520C8" w:rsidP="007520C8">
      <w:pPr>
        <w:spacing w:after="60"/>
        <w:ind w:left="1985" w:hanging="1985"/>
        <w:rPr>
          <w:rFonts w:cs="Arial"/>
          <w:bCs/>
        </w:rPr>
      </w:pPr>
      <w:r>
        <w:rPr>
          <w:rFonts w:cs="Arial"/>
          <w:lang w:val="en-US"/>
        </w:rPr>
        <w:t>[3] Chairman notes RAN1#96Bis</w:t>
      </w:r>
    </w:p>
    <w:p w14:paraId="72AABFED" w14:textId="77777777" w:rsidR="007520C8" w:rsidRDefault="007520C8" w:rsidP="008B2948">
      <w:pPr>
        <w:spacing w:after="60"/>
        <w:ind w:left="1985" w:hanging="1985"/>
        <w:rPr>
          <w:rFonts w:cs="Arial"/>
          <w:bCs/>
        </w:rPr>
      </w:pPr>
    </w:p>
    <w:p w14:paraId="25AF9000" w14:textId="77777777" w:rsidR="00120B38" w:rsidRDefault="00FD786D"/>
    <w:sectPr w:rsidR="00120B38"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4AFE2" w14:textId="77777777" w:rsidR="00971040" w:rsidRDefault="00971040">
      <w:pPr>
        <w:spacing w:after="0"/>
      </w:pPr>
      <w:r>
        <w:separator/>
      </w:r>
    </w:p>
  </w:endnote>
  <w:endnote w:type="continuationSeparator" w:id="0">
    <w:p w14:paraId="67909C3B" w14:textId="77777777" w:rsidR="00971040" w:rsidRDefault="009710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B575B" w14:textId="77777777" w:rsidR="000C274E" w:rsidRDefault="004E47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492FAF9" w14:textId="77777777" w:rsidR="000C274E" w:rsidRDefault="00FD78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574A9" w14:textId="77777777" w:rsidR="000C274E" w:rsidRDefault="004E47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393974E6" w14:textId="77777777" w:rsidR="000C274E" w:rsidRDefault="00FD786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769DC" w14:textId="77777777" w:rsidR="00971040" w:rsidRDefault="00971040">
      <w:pPr>
        <w:spacing w:after="0"/>
      </w:pPr>
      <w:r>
        <w:separator/>
      </w:r>
    </w:p>
  </w:footnote>
  <w:footnote w:type="continuationSeparator" w:id="0">
    <w:p w14:paraId="23D48AA8" w14:textId="77777777" w:rsidR="00971040" w:rsidRDefault="009710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D71A66"/>
    <w:multiLevelType w:val="hybridMultilevel"/>
    <w:tmpl w:val="51940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545BE"/>
    <w:multiLevelType w:val="hybridMultilevel"/>
    <w:tmpl w:val="BCB2A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70762"/>
    <w:multiLevelType w:val="hybridMultilevel"/>
    <w:tmpl w:val="E830FB5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35E01908"/>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80"/>
        </w:tabs>
        <w:ind w:left="10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5F14637"/>
    <w:multiLevelType w:val="hybridMultilevel"/>
    <w:tmpl w:val="C6AC2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205DA6"/>
    <w:multiLevelType w:val="hybridMultilevel"/>
    <w:tmpl w:val="CA189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2"/>
  </w:num>
  <w:num w:numId="6">
    <w:abstractNumId w:val="8"/>
  </w:num>
  <w:num w:numId="7">
    <w:abstractNumId w:val="10"/>
  </w:num>
  <w:num w:numId="8">
    <w:abstractNumId w:val="1"/>
  </w:num>
  <w:num w:numId="9">
    <w:abstractNumId w:val="4"/>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DB7"/>
    <w:rsid w:val="00022841"/>
    <w:rsid w:val="00161DB7"/>
    <w:rsid w:val="002F1FDB"/>
    <w:rsid w:val="00386A2F"/>
    <w:rsid w:val="003D199B"/>
    <w:rsid w:val="004E47CA"/>
    <w:rsid w:val="005218B4"/>
    <w:rsid w:val="00696D34"/>
    <w:rsid w:val="00711B6D"/>
    <w:rsid w:val="007520C8"/>
    <w:rsid w:val="00875F25"/>
    <w:rsid w:val="00892301"/>
    <w:rsid w:val="008B2948"/>
    <w:rsid w:val="00971040"/>
    <w:rsid w:val="009A4763"/>
    <w:rsid w:val="00AE0431"/>
    <w:rsid w:val="00BE0FDB"/>
    <w:rsid w:val="00CD21AC"/>
    <w:rsid w:val="00ED4C9B"/>
    <w:rsid w:val="00F53ABF"/>
    <w:rsid w:val="00F859CB"/>
    <w:rsid w:val="00FD7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45EAE"/>
  <w15:chartTrackingRefBased/>
  <w15:docId w15:val="{2B3D2828-6FA0-4733-AB6F-EE02BC7B3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DB7"/>
    <w:pPr>
      <w:spacing w:after="180" w:line="240" w:lineRule="auto"/>
    </w:pPr>
    <w:rPr>
      <w:rFonts w:ascii="Times New Roman" w:eastAsia="MS Mincho" w:hAnsi="Times New Roman"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161D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UNDERRUBRIK 1-2,DO NOT USE_h2,h2,h21,H2 Char,h2 Char"/>
    <w:basedOn w:val="Heading1"/>
    <w:next w:val="Normal"/>
    <w:link w:val="Heading2Char"/>
    <w:qFormat/>
    <w:rsid w:val="00161D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61D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161DB7"/>
    <w:pPr>
      <w:numPr>
        <w:ilvl w:val="3"/>
      </w:numPr>
      <w:outlineLvl w:val="3"/>
    </w:pPr>
    <w:rPr>
      <w:sz w:val="24"/>
    </w:rPr>
  </w:style>
  <w:style w:type="paragraph" w:styleId="Heading5">
    <w:name w:val="heading 5"/>
    <w:aliases w:val="h5,Heading5"/>
    <w:basedOn w:val="Heading4"/>
    <w:next w:val="Normal"/>
    <w:link w:val="Heading5Char"/>
    <w:qFormat/>
    <w:rsid w:val="00161DB7"/>
    <w:pPr>
      <w:numPr>
        <w:ilvl w:val="5"/>
      </w:numPr>
      <w:outlineLvl w:val="4"/>
    </w:pPr>
    <w:rPr>
      <w:sz w:val="22"/>
    </w:rPr>
  </w:style>
  <w:style w:type="paragraph" w:styleId="Heading6">
    <w:name w:val="heading 6"/>
    <w:basedOn w:val="Normal"/>
    <w:next w:val="Normal"/>
    <w:link w:val="Heading6Char"/>
    <w:qFormat/>
    <w:rsid w:val="008B2948"/>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lang w:eastAsia="zh-CN"/>
    </w:rPr>
  </w:style>
  <w:style w:type="paragraph" w:styleId="Heading7">
    <w:name w:val="heading 7"/>
    <w:basedOn w:val="Normal"/>
    <w:next w:val="Normal"/>
    <w:link w:val="Heading7Char"/>
    <w:qFormat/>
    <w:rsid w:val="00161DB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61DB7"/>
    <w:pPr>
      <w:numPr>
        <w:ilvl w:val="7"/>
      </w:numPr>
      <w:outlineLvl w:val="7"/>
    </w:pPr>
  </w:style>
  <w:style w:type="paragraph" w:styleId="Heading9">
    <w:name w:val="heading 9"/>
    <w:basedOn w:val="Heading8"/>
    <w:next w:val="Normal"/>
    <w:link w:val="Heading9Char"/>
    <w:qFormat/>
    <w:rsid w:val="00161D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61DB7"/>
    <w:rPr>
      <w:rFonts w:ascii="Arial" w:eastAsia="MS Mincho" w:hAnsi="Arial" w:cs="Times New Roman"/>
      <w:sz w:val="36"/>
      <w:szCs w:val="20"/>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161DB7"/>
    <w:rPr>
      <w:rFonts w:ascii="Arial" w:eastAsia="MS Mincho"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61DB7"/>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1DB7"/>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161DB7"/>
    <w:rPr>
      <w:rFonts w:ascii="Arial" w:eastAsia="MS Mincho" w:hAnsi="Arial" w:cs="Times New Roman"/>
      <w:szCs w:val="20"/>
      <w:lang w:val="en-GB"/>
    </w:rPr>
  </w:style>
  <w:style w:type="character" w:customStyle="1" w:styleId="Heading7Char">
    <w:name w:val="Heading 7 Char"/>
    <w:basedOn w:val="DefaultParagraphFont"/>
    <w:link w:val="Heading7"/>
    <w:rsid w:val="00161DB7"/>
    <w:rPr>
      <w:rFonts w:ascii="Arial" w:eastAsia="MS Mincho" w:hAnsi="Arial" w:cs="Times New Roman"/>
      <w:sz w:val="20"/>
      <w:szCs w:val="20"/>
      <w:lang w:val="en-GB"/>
    </w:rPr>
  </w:style>
  <w:style w:type="character" w:customStyle="1" w:styleId="Heading8Char">
    <w:name w:val="Heading 8 Char"/>
    <w:basedOn w:val="DefaultParagraphFont"/>
    <w:link w:val="Heading8"/>
    <w:rsid w:val="00161DB7"/>
    <w:rPr>
      <w:rFonts w:ascii="Arial" w:eastAsia="MS Mincho" w:hAnsi="Arial" w:cs="Times New Roman"/>
      <w:sz w:val="36"/>
      <w:szCs w:val="20"/>
      <w:lang w:val="en-GB"/>
    </w:rPr>
  </w:style>
  <w:style w:type="character" w:customStyle="1" w:styleId="Heading9Char">
    <w:name w:val="Heading 9 Char"/>
    <w:basedOn w:val="DefaultParagraphFont"/>
    <w:link w:val="Heading9"/>
    <w:rsid w:val="00161DB7"/>
    <w:rPr>
      <w:rFonts w:ascii="Arial" w:eastAsia="MS Mincho" w:hAnsi="Arial" w:cs="Times New Roman"/>
      <w:sz w:val="36"/>
      <w:szCs w:val="20"/>
      <w:lang w:val="en-GB"/>
    </w:rPr>
  </w:style>
  <w:style w:type="paragraph" w:styleId="Footer">
    <w:name w:val="footer"/>
    <w:basedOn w:val="Header"/>
    <w:link w:val="FooterChar"/>
    <w:rsid w:val="00161DB7"/>
    <w:pPr>
      <w:widowControl w:val="0"/>
      <w:tabs>
        <w:tab w:val="clear" w:pos="4680"/>
        <w:tab w:val="clear" w:pos="9360"/>
      </w:tabs>
      <w:jc w:val="center"/>
    </w:pPr>
    <w:rPr>
      <w:rFonts w:ascii="Arial" w:hAnsi="Arial"/>
      <w:b/>
      <w:i/>
      <w:noProof/>
      <w:sz w:val="18"/>
      <w:lang w:val="en-US" w:eastAsia="zh-CN"/>
    </w:rPr>
  </w:style>
  <w:style w:type="character" w:customStyle="1" w:styleId="FooterChar">
    <w:name w:val="Footer Char"/>
    <w:basedOn w:val="DefaultParagraphFont"/>
    <w:link w:val="Footer"/>
    <w:rsid w:val="00161DB7"/>
    <w:rPr>
      <w:rFonts w:ascii="Arial" w:eastAsia="MS Mincho" w:hAnsi="Arial" w:cs="Times New Roman"/>
      <w:b/>
      <w:i/>
      <w:noProof/>
      <w:sz w:val="18"/>
      <w:szCs w:val="20"/>
      <w:lang w:eastAsia="zh-CN"/>
    </w:rPr>
  </w:style>
  <w:style w:type="character" w:styleId="PageNumber">
    <w:name w:val="page number"/>
    <w:basedOn w:val="DefaultParagraphFont"/>
    <w:rsid w:val="00161DB7"/>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61DB7"/>
    <w:pPr>
      <w:spacing w:after="0"/>
      <w:ind w:left="720"/>
      <w:contextualSpacing/>
    </w:pPr>
    <w:rPr>
      <w:rFonts w:eastAsia="Times New Roman"/>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61DB7"/>
    <w:rPr>
      <w:rFonts w:ascii="Times New Roman" w:eastAsia="Times New Roman" w:hAnsi="Times New Roman" w:cs="Times New Roman"/>
      <w:sz w:val="24"/>
      <w:szCs w:val="24"/>
    </w:rPr>
  </w:style>
  <w:style w:type="paragraph" w:styleId="Title">
    <w:name w:val="Title"/>
    <w:basedOn w:val="Normal"/>
    <w:link w:val="TitleChar"/>
    <w:qFormat/>
    <w:rsid w:val="00161DB7"/>
    <w:pPr>
      <w:overflowPunct w:val="0"/>
      <w:autoSpaceDE w:val="0"/>
      <w:autoSpaceDN w:val="0"/>
      <w:adjustRightInd w:val="0"/>
      <w:spacing w:after="120"/>
      <w:jc w:val="center"/>
    </w:pPr>
    <w:rPr>
      <w:rFonts w:ascii="Arial" w:hAnsi="Arial"/>
      <w:b/>
      <w:sz w:val="24"/>
      <w:lang w:val="de-DE"/>
    </w:rPr>
  </w:style>
  <w:style w:type="character" w:customStyle="1" w:styleId="TitleChar">
    <w:name w:val="Title Char"/>
    <w:basedOn w:val="DefaultParagraphFont"/>
    <w:link w:val="Title"/>
    <w:rsid w:val="00161DB7"/>
    <w:rPr>
      <w:rFonts w:ascii="Arial" w:eastAsia="MS Mincho" w:hAnsi="Arial" w:cs="Times New Roman"/>
      <w:b/>
      <w:sz w:val="24"/>
      <w:szCs w:val="20"/>
      <w:lang w:val="de-DE"/>
    </w:rPr>
  </w:style>
  <w:style w:type="paragraph" w:styleId="Header">
    <w:name w:val="header"/>
    <w:basedOn w:val="Normal"/>
    <w:link w:val="HeaderChar"/>
    <w:uiPriority w:val="99"/>
    <w:semiHidden/>
    <w:unhideWhenUsed/>
    <w:rsid w:val="00161DB7"/>
    <w:pPr>
      <w:tabs>
        <w:tab w:val="center" w:pos="4680"/>
        <w:tab w:val="right" w:pos="9360"/>
      </w:tabs>
      <w:spacing w:after="0"/>
    </w:pPr>
  </w:style>
  <w:style w:type="character" w:customStyle="1" w:styleId="HeaderChar">
    <w:name w:val="Header Char"/>
    <w:basedOn w:val="DefaultParagraphFont"/>
    <w:link w:val="Header"/>
    <w:uiPriority w:val="99"/>
    <w:semiHidden/>
    <w:rsid w:val="00161DB7"/>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161D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DB7"/>
    <w:rPr>
      <w:rFonts w:ascii="Segoe UI" w:eastAsia="MS Mincho" w:hAnsi="Segoe UI" w:cs="Segoe UI"/>
      <w:sz w:val="18"/>
      <w:szCs w:val="18"/>
      <w:lang w:val="en-GB"/>
    </w:rPr>
  </w:style>
  <w:style w:type="character" w:customStyle="1" w:styleId="NOZchn">
    <w:name w:val="NO Zchn"/>
    <w:basedOn w:val="DefaultParagraphFont"/>
    <w:link w:val="NO"/>
    <w:locked/>
    <w:rsid w:val="005218B4"/>
    <w:rPr>
      <w:lang w:eastAsia="x-none"/>
    </w:rPr>
  </w:style>
  <w:style w:type="paragraph" w:customStyle="1" w:styleId="NO">
    <w:name w:val="NO"/>
    <w:basedOn w:val="Normal"/>
    <w:link w:val="NOZchn"/>
    <w:rsid w:val="005218B4"/>
    <w:pPr>
      <w:ind w:left="1135" w:hanging="851"/>
    </w:pPr>
    <w:rPr>
      <w:rFonts w:asciiTheme="minorHAnsi" w:eastAsiaTheme="minorHAnsi" w:hAnsiTheme="minorHAnsi" w:cstheme="minorBidi"/>
      <w:sz w:val="22"/>
      <w:szCs w:val="22"/>
      <w:lang w:val="en-US" w:eastAsia="x-none"/>
    </w:rPr>
  </w:style>
  <w:style w:type="character" w:customStyle="1" w:styleId="Heading6Char">
    <w:name w:val="Heading 6 Char"/>
    <w:basedOn w:val="DefaultParagraphFont"/>
    <w:link w:val="Heading6"/>
    <w:rsid w:val="008B2948"/>
    <w:rPr>
      <w:rFonts w:ascii="Arial" w:eastAsia="SimSun" w:hAnsi="Arial" w:cs="Arial"/>
      <w:sz w:val="20"/>
      <w:szCs w:val="20"/>
      <w:lang w:val="en-GB" w:eastAsia="zh-CN"/>
    </w:rPr>
  </w:style>
  <w:style w:type="table" w:styleId="TableGrid">
    <w:name w:val="Table Grid"/>
    <w:basedOn w:val="TableNormal"/>
    <w:uiPriority w:val="39"/>
    <w:rsid w:val="00F5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40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SRVZ567275SS-924214940-54</_dlc_DocId>
    <_dlc_DocIdUrl xmlns="932dab1a-f806-440a-b546-5f112cb4e652">
      <Url>https://projects.qualcomm.com/sites/libra/_layouts/15/DocIdRedir.aspx?ID=SRVZ567275SS-924214940-54</Url>
      <Description>SRVZ567275SS-924214940-54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02419-AD2B-49BD-AC7A-8EDD148D8BA8}">
  <ds:schemaRefs>
    <ds:schemaRef ds:uri="http://schemas.microsoft.com/sharepoint/events"/>
  </ds:schemaRefs>
</ds:datastoreItem>
</file>

<file path=customXml/itemProps2.xml><?xml version="1.0" encoding="utf-8"?>
<ds:datastoreItem xmlns:ds="http://schemas.openxmlformats.org/officeDocument/2006/customXml" ds:itemID="{586A61EC-50B4-41BD-80A4-80AB1627E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9D163-B339-40D1-80B8-80AA6D0DF537}">
  <ds:schemaRefs>
    <ds:schemaRef ds:uri="http://schemas.microsoft.com/office/2006/documentManagement/types"/>
    <ds:schemaRef ds:uri="http://schemas.microsoft.com/office/2006/metadata/properties"/>
    <ds:schemaRef ds:uri="http://purl.org/dc/terms/"/>
    <ds:schemaRef ds:uri="932dab1a-f806-440a-b546-5f112cb4e652"/>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4512C63F-6467-409E-9F19-EAC0F18CAB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1809</Words>
  <Characters>10315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Co-existence aspects for NR-V2X and LTE-V2X</vt:lpstr>
    </vt:vector>
  </TitlesOfParts>
  <Company/>
  <LinksUpToDate>false</LinksUpToDate>
  <CharactersWithSpaces>12100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Co-existence aspects for NR-V2X and LTE-V2X</dc:title>
  <dc:subject/>
  <dc:creator>Viet Nguyen</dc:creator>
  <cp:keywords/>
  <dc:description/>
  <cp:lastModifiedBy>Sudhir Baghel</cp:lastModifiedBy>
  <cp:revision>8</cp:revision>
  <dcterms:created xsi:type="dcterms:W3CDTF">2019-08-13T10:19:00Z</dcterms:created>
  <dcterms:modified xsi:type="dcterms:W3CDTF">2019-08-16T07:33:00Z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222dd934-21a2-4daa-89bc-3e2d628f70d7</vt:lpwstr>
  </property>
</Properties>
</file>